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08.11.2021 N 800</w:t>
              <w:br/>
              <w:t xml:space="preserve">(ред. от 24.04.2024)</w:t>
              <w:br/>
              <w:t xml:space="preserve"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        <w:br/>
              <w:t xml:space="preserve">(Зарегистрировано в Минюсте России 07.12.2021 N 66211)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декабря 2021 г. N 66211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ноября 2021 г. N 800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05.05.2022 </w:t>
            </w:r>
            <w:hyperlink w:history="0" r:id="rId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19.01.2023 </w:t>
            </w:r>
            <w:hyperlink w:history="0" r:id="rId8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9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4134), </w:t>
      </w:r>
      <w:hyperlink w:history="0" r:id="rId11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2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w:history="0" r:id="rId13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(зарегистрирован Министерством юстиции Российской Федерации 1 ноября 2013 г., регистрационный N 30306), с изменениями, внесенными приказами Министерства образования и науки Российской Федерации от 31 января 2014 г. N 74 (зарегистрирован Министерством юстиции Российской Федерации 5 марта 2014 г., регистрационный N 31524), от 17 ноября 2017 г. N 1138 (зарегистрирован Министерством юстиции Российской Федерации 12 декабря 2017 г., регистрационный N 49221) и приказом Министерства просвещения Российской Федерации от 10 ноября 2020 г. N 630 (зарегистрирован Министерством юстиции Российской Федерации 1 декабря 2020 г., регистрационный N 61179).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1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hyperlink w:history="0" r:id="rId1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6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30306);</w:t>
      </w:r>
    </w:p>
    <w:p>
      <w:pPr>
        <w:pStyle w:val="0"/>
        <w:spacing w:before="200" w:line-rule="auto"/>
        <w:ind w:firstLine="540"/>
        <w:jc w:val="both"/>
      </w:pPr>
      <w:hyperlink w:history="0" r:id="rId17" w:tooltip="Приказ Минобрнауки России от 31.01.2014 N 74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5.03.2014 N 315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31 января 2014 г. N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5 марта 2014 г., регистрационный N 31524);</w:t>
      </w:r>
    </w:p>
    <w:p>
      <w:pPr>
        <w:pStyle w:val="0"/>
        <w:spacing w:before="200" w:line-rule="auto"/>
        <w:ind w:firstLine="540"/>
        <w:jc w:val="both"/>
      </w:pPr>
      <w:hyperlink w:history="0" r:id="rId18" w:tooltip="Приказ Минобрнауки России от 17.11.2017 N 1138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12.12.2017 N 4922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17 ноября 2017 г. N 1138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12 декабря 2017 г., регистрационный N 49221);</w:t>
      </w:r>
    </w:p>
    <w:p>
      <w:pPr>
        <w:pStyle w:val="0"/>
        <w:spacing w:before="200" w:line-rule="auto"/>
        <w:ind w:firstLine="540"/>
        <w:jc w:val="both"/>
      </w:pPr>
      <w:hyperlink w:history="0" r:id="rId19" w:tooltip="Приказ Минпросвещения России от 10.11.2020 N 630 &quot;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1.12.2020 N 6117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10 ноября 2020 г. N 630 "О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 декабря 2020 г., регистрационный N 61179).</w:t>
      </w:r>
    </w:p>
    <w:p>
      <w:pPr>
        <w:pStyle w:val="0"/>
        <w:spacing w:before="200" w:line-rule="auto"/>
        <w:ind w:firstLine="540"/>
        <w:jc w:val="both"/>
      </w:pPr>
      <w:hyperlink w:history="0" r:id="rId2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Настоящий приказ вступает в силу с 1 сентября 2022 г. и действует до 1 сентября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ноября 2021 г. N 800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05.05.2022 </w:t>
            </w:r>
            <w:hyperlink w:history="0" r:id="rId21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19.01.2023 </w:t>
            </w:r>
            <w:hyperlink w:history="0" r:id="rId2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23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Обеспечение проведения ГИА осуществляется образовательными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hyperlink w:history="0" w:anchor="P173" w:tooltip="36. Лица, указанные в пунктах 34 и 35 Порядка, обязаны:">
        <w:r>
          <w:rPr>
            <w:sz w:val="20"/>
            <w:color w:val="0000ff"/>
          </w:rPr>
          <w:t xml:space="preserve">пунктом 36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Формы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 настоящего пункта;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государственный экзамен и (или) защита дипломного проекта (работы):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если иное не установлено соответствующим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24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5" w:tooltip="Федеральный закон от 21.11.2011 N 323-ФЗ (ред. от 08.08.2024) &quot;Об основах охраны здоровья граждан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Демонстрационный экзамен проводится по двум уровням: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дирижирование и работа с хором, участие в спектакле или иное, в соответствии с требованиями, установленными ФГОС СПО по соответствующей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2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Подготовка проведения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28" w:tooltip="Федеральный закон от 21.11.2011 N 323-ФЗ (ред. от 08.08.2024) &quot;Об основах охраны здоровья граждан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19.01.2023 N 37.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30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находится частная образовательная организация.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ГЭК образовательной организации утверждается лицо, не работающее в образовательной организации, из числа: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Экспертную группу возглавляет главный эксперт, назначаемый из числа экспертов, включенных в состав ГЭК.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К ГИА допускаются выпускники, не имеющие академической задолженности и в полном объеме выполнившие учебный план или индивидуальный учебный план &lt;4&gt;.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3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 </w:t>
      </w:r>
      <w:hyperlink w:history="0" r:id="rId36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37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&lt;4(1)&gt; </w:t>
      </w:r>
      <w:hyperlink w:history="0" r:id="rId38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</w:t>
      </w:r>
    </w:p>
    <w:p>
      <w:pPr>
        <w:pStyle w:val="0"/>
        <w:jc w:val="both"/>
      </w:pPr>
      <w:r>
        <w:rPr>
          <w:sz w:val="20"/>
        </w:rPr>
        <w:t xml:space="preserve">(в ред. Приказов Минпросвещения России от 19.01.2023 </w:t>
      </w:r>
      <w:hyperlink w:history="0" r:id="rId40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N 37</w:t>
        </w:r>
      </w:hyperlink>
      <w:r>
        <w:rPr>
          <w:sz w:val="20"/>
        </w:rPr>
        <w:t xml:space="preserve">, от 24.04.2024 </w:t>
      </w:r>
      <w:hyperlink w:history="0" r:id="rId41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N 272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history="0" w:anchor="P217" w:tooltip="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">
        <w:r>
          <w:rPr>
            <w:sz w:val="20"/>
            <w:color w:val="0000ff"/>
          </w:rPr>
          <w:t xml:space="preserve">пунктом 58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Проведение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Выпускники проходят демонстрационный экзамен в центре проведения экзамена в составе экзаменационных групп.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 день проведения демонстрационного экзамена в центре проведения экзамена присутствуют: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(уполномоченный представитель) организации, на базе которой организован центр проведения экзамена;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менее одного члена ГЭК, не считая членов экспертной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члены экспертной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главный эксперт;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представители организаций-партнеров (по согласованию с образовательной организацией);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выпускники;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технический эксперт;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46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bookmarkStart w:id="164" w:name="P164"/>
    <w:bookmarkEnd w:id="1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день проведения демонстрационного экзамена в центре проведения экзамена могут присутствовать: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представители оператора (по согласованию с образовательной организацией);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представители организаций-партнеров (по решению таких организаций по согласованию с образовательной организацией).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добровольцы (волонтеры), привлекаемые к проведению демонстрационного экзамена (по решению образовательной организации).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48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24.04.2024 N 272)</w:t>
      </w:r>
    </w:p>
    <w:bookmarkStart w:id="173" w:name="P173"/>
    <w:bookmarkEnd w:id="1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Лица, указанные в </w:t>
      </w:r>
      <w:hyperlink w:history="0" w:anchor="P150" w:tooltip="34. В день проведения демонстрационного экзамена в центре проведения экзамена присутствуют:">
        <w:r>
          <w:rPr>
            <w:sz w:val="20"/>
            <w:color w:val="0000ff"/>
          </w:rPr>
          <w:t xml:space="preserve">пунктах 34</w:t>
        </w:r>
      </w:hyperlink>
      <w:r>
        <w:rPr>
          <w:sz w:val="20"/>
        </w:rPr>
        <w:t xml:space="preserve"> и </w:t>
      </w:r>
      <w:hyperlink w:history="0" w:anchor="P164" w:tooltip="35. В день проведения демонстрационного экзамена в центре проведения экзамена могут присутствовать: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Порядка,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9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24.04.2024 N 272)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Члены экспертной группы осуществляют оценку выполнения заданий демонстрационного экзамена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эксперт может делать заметки о ходе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Технический эксперт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наблюдать за ходом проведения демонстрационного экзамена;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Представитель образовательной организации располагается в изолированном от центра проведения экзамена помещении.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Выпускники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получить копию задания демонстрационного экзамена на бумажном носителе;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Выпускники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Выпускник по собственному желанию может завершить выполнение задания досрочно, уведомив об этом главного эксперта.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bookmarkStart w:id="217" w:name="P217"/>
    <w:bookmarkEnd w:id="2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Оценивание результатов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(Ворлдскиллс Россия)") либо международной организацией "WorldSkills International", в том числе "WorldSkills Europe" и "WorldSkills Asia", и участника национальной сборной России по профессиональному мастерству по стандартам "Ворлдскиллс" выпускника по профилю осваиваемой образовательной программы среднего профессионального образования засчитывается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(п. 67 в ред. </w:t>
      </w:r>
      <w:hyperlink w:history="0" r:id="rId5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подачи и рассмотрения апелляций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Апелляция рассматривается апелляционной комиссией не позднее трех рабочих дней с момента ее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Состав апелляционной комиссии утверждается образовательной организацией одновременно с утверждением состава ГЭК.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Апелляция рассматривается на заседании апелляционной комиссии с участием не менее двух третей ее состава.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Выпускник, подавший апелляцию, имеет право присутствовать при рассмотрении апелляции.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несовершеннолетним выпускником имеет право присутствовать один из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лица должны при себе иметь документы, удостоверяющие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Рассмотрение апелляции не является пересдачей ГИА.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отклонении апелляции, если изложенные в ней сведения о нарушениях Порядка не подтвердились и (или) не повлияли на результат ГИА;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Решение апелляционной комиссии является окончательным и пересмотру не подлежит.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Особенности проведения ГИА для выпускников из числа</w:t>
      </w:r>
    </w:p>
    <w:p>
      <w:pPr>
        <w:pStyle w:val="2"/>
        <w:jc w:val="center"/>
      </w:pPr>
      <w:r>
        <w:rPr>
          <w:sz w:val="20"/>
        </w:rPr>
        <w:t xml:space="preserve">лиц с ограниченными возможностями здоровья, детей-инвалидов</w:t>
      </w:r>
    </w:p>
    <w:p>
      <w:pPr>
        <w:pStyle w:val="2"/>
        <w:jc w:val="center"/>
      </w:pPr>
      <w:r>
        <w:rPr>
          <w:sz w:val="20"/>
        </w:rPr>
        <w:t xml:space="preserve">и инвалидов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При проведении ГИА обеспечивается соблюдение следующих общих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пользование необходимыми выпускникам техническими средствами при прохождении ГИА с учетом их индивидуальных особенностей;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слепых: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слабовидящих: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обеспечивается индивидуальное равномерное освещение не менее 300 люкс;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выпускникам для выполнения задания при необходимости предоставляется увеличивающее устройство;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задания для выполнения, а также инструкция о порядке проведения государственной аттестации оформляются увеличенным шрифтом;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глухих и слабослышащих, с тяжелыми нарушениями речи: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их желанию государственный экзамен может проводиться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письменные задания выполняются на компьютере со специализированным программным обеспечением или надиктовываются ассистенту;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их желанию государственный экзамен может проводиться в устной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5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</w:t>
      </w:r>
      <w:hyperlink w:history="0" r:id="rId56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08.11.2021 N 800</w:t>
            <w:br/>
            <w:t>(ред. от 24.04.2024)</w:t>
            <w:br/>
            <w:t>"Об утверждении Порядка проведения государственной...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7823&amp;dst=100006" TargetMode = "External"/>
	<Relationship Id="rId8" Type="http://schemas.openxmlformats.org/officeDocument/2006/relationships/hyperlink" Target="https://login.consultant.ru/link/?req=doc&amp;base=LAW&amp;n=443816&amp;dst=100006" TargetMode = "External"/>
	<Relationship Id="rId9" Type="http://schemas.openxmlformats.org/officeDocument/2006/relationships/hyperlink" Target="https://login.consultant.ru/link/?req=doc&amp;base=LAW&amp;n=477540&amp;dst=100006" TargetMode = "External"/>
	<Relationship Id="rId10" Type="http://schemas.openxmlformats.org/officeDocument/2006/relationships/hyperlink" Target="https://login.consultant.ru/link/?req=doc&amp;base=LAW&amp;n=470336&amp;dst=245" TargetMode = "External"/>
	<Relationship Id="rId11" Type="http://schemas.openxmlformats.org/officeDocument/2006/relationships/hyperlink" Target="https://login.consultant.ru/link/?req=doc&amp;base=LAW&amp;n=480734&amp;dst=100015" TargetMode = "External"/>
	<Relationship Id="rId12" Type="http://schemas.openxmlformats.org/officeDocument/2006/relationships/hyperlink" Target="https://login.consultant.ru/link/?req=doc&amp;base=LAW&amp;n=480734&amp;dst=11" TargetMode = "External"/>
	<Relationship Id="rId13" Type="http://schemas.openxmlformats.org/officeDocument/2006/relationships/hyperlink" Target="https://login.consultant.ru/link/?req=doc&amp;base=LAW&amp;n=369522&amp;dst=100013" TargetMode = "External"/>
	<Relationship Id="rId14" Type="http://schemas.openxmlformats.org/officeDocument/2006/relationships/hyperlink" Target="https://login.consultant.ru/link/?req=doc&amp;base=LAW&amp;n=417823&amp;dst=100013" TargetMode = "External"/>
	<Relationship Id="rId15" Type="http://schemas.openxmlformats.org/officeDocument/2006/relationships/hyperlink" Target="https://login.consultant.ru/link/?req=doc&amp;base=LAW&amp;n=417823&amp;dst=100015" TargetMode = "External"/>
	<Relationship Id="rId16" Type="http://schemas.openxmlformats.org/officeDocument/2006/relationships/hyperlink" Target="https://login.consultant.ru/link/?req=doc&amp;base=LAW&amp;n=369522" TargetMode = "External"/>
	<Relationship Id="rId17" Type="http://schemas.openxmlformats.org/officeDocument/2006/relationships/hyperlink" Target="https://login.consultant.ru/link/?req=doc&amp;base=LAW&amp;n=159943" TargetMode = "External"/>
	<Relationship Id="rId18" Type="http://schemas.openxmlformats.org/officeDocument/2006/relationships/hyperlink" Target="https://login.consultant.ru/link/?req=doc&amp;base=LAW&amp;n=284994" TargetMode = "External"/>
	<Relationship Id="rId19" Type="http://schemas.openxmlformats.org/officeDocument/2006/relationships/hyperlink" Target="https://login.consultant.ru/link/?req=doc&amp;base=LAW&amp;n=369476" TargetMode = "External"/>
	<Relationship Id="rId20" Type="http://schemas.openxmlformats.org/officeDocument/2006/relationships/hyperlink" Target="https://login.consultant.ru/link/?req=doc&amp;base=LAW&amp;n=417823&amp;dst=100015" TargetMode = "External"/>
	<Relationship Id="rId21" Type="http://schemas.openxmlformats.org/officeDocument/2006/relationships/hyperlink" Target="https://login.consultant.ru/link/?req=doc&amp;base=LAW&amp;n=417823&amp;dst=100016" TargetMode = "External"/>
	<Relationship Id="rId22" Type="http://schemas.openxmlformats.org/officeDocument/2006/relationships/hyperlink" Target="https://login.consultant.ru/link/?req=doc&amp;base=LAW&amp;n=443816&amp;dst=100006" TargetMode = "External"/>
	<Relationship Id="rId23" Type="http://schemas.openxmlformats.org/officeDocument/2006/relationships/hyperlink" Target="https://login.consultant.ru/link/?req=doc&amp;base=LAW&amp;n=477540&amp;dst=100006" TargetMode = "External"/>
	<Relationship Id="rId24" Type="http://schemas.openxmlformats.org/officeDocument/2006/relationships/hyperlink" Target="https://login.consultant.ru/link/?req=doc&amp;base=LAW&amp;n=443816&amp;dst=100011" TargetMode = "External"/>
	<Relationship Id="rId25" Type="http://schemas.openxmlformats.org/officeDocument/2006/relationships/hyperlink" Target="https://login.consultant.ru/link/?req=doc&amp;base=LAW&amp;n=454225&amp;dst=633" TargetMode = "External"/>
	<Relationship Id="rId26" Type="http://schemas.openxmlformats.org/officeDocument/2006/relationships/hyperlink" Target="https://login.consultant.ru/link/?req=doc&amp;base=LAW&amp;n=443816&amp;dst=100018" TargetMode = "External"/>
	<Relationship Id="rId27" Type="http://schemas.openxmlformats.org/officeDocument/2006/relationships/hyperlink" Target="https://login.consultant.ru/link/?req=doc&amp;base=LAW&amp;n=417823&amp;dst=100019" TargetMode = "External"/>
	<Relationship Id="rId28" Type="http://schemas.openxmlformats.org/officeDocument/2006/relationships/hyperlink" Target="https://login.consultant.ru/link/?req=doc&amp;base=LAW&amp;n=454225&amp;dst=633" TargetMode = "External"/>
	<Relationship Id="rId29" Type="http://schemas.openxmlformats.org/officeDocument/2006/relationships/hyperlink" Target="https://login.consultant.ru/link/?req=doc&amp;base=LAW&amp;n=443816&amp;dst=100021" TargetMode = "External"/>
	<Relationship Id="rId30" Type="http://schemas.openxmlformats.org/officeDocument/2006/relationships/hyperlink" Target="https://login.consultant.ru/link/?req=doc&amp;base=LAW&amp;n=443816&amp;dst=100023" TargetMode = "External"/>
	<Relationship Id="rId31" Type="http://schemas.openxmlformats.org/officeDocument/2006/relationships/hyperlink" Target="https://login.consultant.ru/link/?req=doc&amp;base=LAW&amp;n=417823&amp;dst=100031" TargetMode = "External"/>
	<Relationship Id="rId32" Type="http://schemas.openxmlformats.org/officeDocument/2006/relationships/hyperlink" Target="https://login.consultant.ru/link/?req=doc&amp;base=LAW&amp;n=417823&amp;dst=100030" TargetMode = "External"/>
	<Relationship Id="rId33" Type="http://schemas.openxmlformats.org/officeDocument/2006/relationships/hyperlink" Target="https://login.consultant.ru/link/?req=doc&amp;base=LAW&amp;n=443816&amp;dst=100025" TargetMode = "External"/>
	<Relationship Id="rId34" Type="http://schemas.openxmlformats.org/officeDocument/2006/relationships/hyperlink" Target="https://login.consultant.ru/link/?req=doc&amp;base=LAW&amp;n=417823&amp;dst=100029" TargetMode = "External"/>
	<Relationship Id="rId35" Type="http://schemas.openxmlformats.org/officeDocument/2006/relationships/hyperlink" Target="https://login.consultant.ru/link/?req=doc&amp;base=LAW&amp;n=417823&amp;dst=100029" TargetMode = "External"/>
	<Relationship Id="rId36" Type="http://schemas.openxmlformats.org/officeDocument/2006/relationships/hyperlink" Target="https://login.consultant.ru/link/?req=doc&amp;base=LAW&amp;n=470336&amp;dst=100803" TargetMode = "External"/>
	<Relationship Id="rId37" Type="http://schemas.openxmlformats.org/officeDocument/2006/relationships/hyperlink" Target="https://login.consultant.ru/link/?req=doc&amp;base=LAW&amp;n=443816&amp;dst=100026" TargetMode = "External"/>
	<Relationship Id="rId38" Type="http://schemas.openxmlformats.org/officeDocument/2006/relationships/hyperlink" Target="https://login.consultant.ru/link/?req=doc&amp;base=LAW&amp;n=480734&amp;dst=100017" TargetMode = "External"/>
	<Relationship Id="rId39" Type="http://schemas.openxmlformats.org/officeDocument/2006/relationships/hyperlink" Target="https://login.consultant.ru/link/?req=doc&amp;base=LAW&amp;n=443816&amp;dst=100028" TargetMode = "External"/>
	<Relationship Id="rId40" Type="http://schemas.openxmlformats.org/officeDocument/2006/relationships/hyperlink" Target="https://login.consultant.ru/link/?req=doc&amp;base=LAW&amp;n=443816&amp;dst=100030" TargetMode = "External"/>
	<Relationship Id="rId41" Type="http://schemas.openxmlformats.org/officeDocument/2006/relationships/hyperlink" Target="https://login.consultant.ru/link/?req=doc&amp;base=LAW&amp;n=477540&amp;dst=100011" TargetMode = "External"/>
	<Relationship Id="rId42" Type="http://schemas.openxmlformats.org/officeDocument/2006/relationships/hyperlink" Target="https://login.consultant.ru/link/?req=doc&amp;base=LAW&amp;n=417823&amp;dst=100036" TargetMode = "External"/>
	<Relationship Id="rId43" Type="http://schemas.openxmlformats.org/officeDocument/2006/relationships/hyperlink" Target="https://login.consultant.ru/link/?req=doc&amp;base=LAW&amp;n=417823&amp;dst=100037" TargetMode = "External"/>
	<Relationship Id="rId44" Type="http://schemas.openxmlformats.org/officeDocument/2006/relationships/hyperlink" Target="https://login.consultant.ru/link/?req=doc&amp;base=LAW&amp;n=417823&amp;dst=100038" TargetMode = "External"/>
	<Relationship Id="rId45" Type="http://schemas.openxmlformats.org/officeDocument/2006/relationships/hyperlink" Target="https://login.consultant.ru/link/?req=doc&amp;base=LAW&amp;n=417823&amp;dst=100039" TargetMode = "External"/>
	<Relationship Id="rId46" Type="http://schemas.openxmlformats.org/officeDocument/2006/relationships/hyperlink" Target="https://login.consultant.ru/link/?req=doc&amp;base=LAW&amp;n=417823&amp;dst=100040" TargetMode = "External"/>
	<Relationship Id="rId47" Type="http://schemas.openxmlformats.org/officeDocument/2006/relationships/hyperlink" Target="https://login.consultant.ru/link/?req=doc&amp;base=LAW&amp;n=417823&amp;dst=100042" TargetMode = "External"/>
	<Relationship Id="rId48" Type="http://schemas.openxmlformats.org/officeDocument/2006/relationships/hyperlink" Target="https://login.consultant.ru/link/?req=doc&amp;base=LAW&amp;n=477540&amp;dst=100012" TargetMode = "External"/>
	<Relationship Id="rId49" Type="http://schemas.openxmlformats.org/officeDocument/2006/relationships/hyperlink" Target="https://login.consultant.ru/link/?req=doc&amp;base=LAW&amp;n=477540&amp;dst=100014" TargetMode = "External"/>
	<Relationship Id="rId50" Type="http://schemas.openxmlformats.org/officeDocument/2006/relationships/hyperlink" Target="https://login.consultant.ru/link/?req=doc&amp;base=LAW&amp;n=417823&amp;dst=100042" TargetMode = "External"/>
	<Relationship Id="rId51" Type="http://schemas.openxmlformats.org/officeDocument/2006/relationships/hyperlink" Target="https://login.consultant.ru/link/?req=doc&amp;base=LAW&amp;n=443816&amp;dst=100031" TargetMode = "External"/>
	<Relationship Id="rId52" Type="http://schemas.openxmlformats.org/officeDocument/2006/relationships/hyperlink" Target="https://login.consultant.ru/link/?req=doc&amp;base=LAW&amp;n=443816&amp;dst=100032" TargetMode = "External"/>
	<Relationship Id="rId53" Type="http://schemas.openxmlformats.org/officeDocument/2006/relationships/hyperlink" Target="https://login.consultant.ru/link/?req=doc&amp;base=LAW&amp;n=417823&amp;dst=100043" TargetMode = "External"/>
	<Relationship Id="rId54" Type="http://schemas.openxmlformats.org/officeDocument/2006/relationships/hyperlink" Target="https://login.consultant.ru/link/?req=doc&amp;base=LAW&amp;n=417823&amp;dst=100029" TargetMode = "External"/>
	<Relationship Id="rId55" Type="http://schemas.openxmlformats.org/officeDocument/2006/relationships/hyperlink" Target="https://login.consultant.ru/link/?req=doc&amp;base=LAW&amp;n=417823&amp;dst=100029" TargetMode = "External"/>
	<Relationship Id="rId56" Type="http://schemas.openxmlformats.org/officeDocument/2006/relationships/hyperlink" Target="https://login.consultant.ru/link/?req=doc&amp;base=LAW&amp;n=37188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08.11.2021 N 800
(ред. от 24.04.2024)
"Об утверждении Порядка проведения государственной итоговой аттестации по образовательным программам среднего профессионального образования"
(Зарегистрировано в Минюсте России 07.12.2021 N 66211)</dc:title>
  <dcterms:created xsi:type="dcterms:W3CDTF">2024-09-24T11:40:56Z</dcterms:created>
</cp:coreProperties>
</file>